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屈臣氏店铺选址分析报告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一、屈臣氏简介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屈臣氏是长江和记有限公司旗下的国际零售及食品制造机构，业务遍布24个国家/地区，共经营超过12000间零售商店，聘用117,000名员工。集团涉及的商品包括有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"https://baike.baidu.com/item/%E4%BF%9D%E5%81%A5" \t "https://baike.baidu.com/item/_blank"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Fonts w:hint="eastAsia"/>
          <w:sz w:val="24"/>
          <w:szCs w:val="24"/>
          <w:lang w:val="en-US" w:eastAsia="zh-CN"/>
        </w:rPr>
        <w:t>保健</w:t>
      </w:r>
      <w:r>
        <w:rPr>
          <w:rFonts w:hint="eastAsia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产品、美容产品、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"https://baike.baidu.com/item/%E9%A6%99%E6%B0%B4/12442" \t "https://baike.baidu.com/item/_blank"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Fonts w:hint="eastAsia"/>
          <w:sz w:val="24"/>
          <w:szCs w:val="24"/>
          <w:lang w:val="en-US" w:eastAsia="zh-CN"/>
        </w:rPr>
        <w:t>香水</w:t>
      </w:r>
      <w:r>
        <w:rPr>
          <w:rFonts w:hint="eastAsia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"https://baike.baidu.com/item/%E5%8C%96%E5%A6%86%E5%93%81" \t "https://baike.baidu.com/item/_blank"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Fonts w:hint="eastAsia"/>
          <w:sz w:val="24"/>
          <w:szCs w:val="24"/>
          <w:lang w:val="en-US" w:eastAsia="zh-CN"/>
        </w:rPr>
        <w:t>化妆品</w:t>
      </w:r>
      <w:r>
        <w:rPr>
          <w:rFonts w:hint="eastAsia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"https://baike.baidu.com/item/%E6%97%A5%E7%94%A8" \t "https://baike.baidu.com/item/_blank"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Fonts w:hint="eastAsia"/>
          <w:sz w:val="24"/>
          <w:szCs w:val="24"/>
          <w:lang w:val="en-US" w:eastAsia="zh-CN"/>
        </w:rPr>
        <w:t>日用</w:t>
      </w:r>
      <w:r>
        <w:rPr>
          <w:rFonts w:hint="eastAsia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"https://baike.baidu.com/item/%E9%A3%9F%E5%93%81" \t "https://baike.baidu.com/item/_blank"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Fonts w:hint="eastAsia"/>
          <w:sz w:val="24"/>
          <w:szCs w:val="24"/>
          <w:lang w:val="en-US" w:eastAsia="zh-CN"/>
        </w:rPr>
        <w:t>食品</w:t>
      </w:r>
      <w:r>
        <w:rPr>
          <w:rFonts w:hint="eastAsia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"https://baike.baidu.com/item/%E9%A5%AE%E5%93%81" \t "https://baike.baidu.com/item/_blank"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Fonts w:hint="eastAsia"/>
          <w:sz w:val="24"/>
          <w:szCs w:val="24"/>
          <w:lang w:val="en-US" w:eastAsia="zh-CN"/>
        </w:rPr>
        <w:t>饮品</w:t>
      </w:r>
      <w:r>
        <w:rPr>
          <w:rFonts w:hint="eastAsia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"https://baike.baidu.com/item/%E7%94%B5%E5%AD%90%E4%BA%A7%E5%93%81" \t "https://baike.baidu.com/item/_blank"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Fonts w:hint="eastAsia"/>
          <w:sz w:val="24"/>
          <w:szCs w:val="24"/>
          <w:lang w:val="en-US" w:eastAsia="zh-CN"/>
        </w:rPr>
        <w:t>电子产品</w:t>
      </w:r>
      <w:r>
        <w:rPr>
          <w:rFonts w:hint="eastAsia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"https://baike.baidu.com/item/%E6%B4%8B%E9%85%92" \t "https://baike.baidu.com/item/_blank"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Fonts w:hint="eastAsia"/>
          <w:sz w:val="24"/>
          <w:szCs w:val="24"/>
          <w:lang w:val="en-US" w:eastAsia="zh-CN"/>
        </w:rPr>
        <w:t>洋酒</w:t>
      </w:r>
      <w:r>
        <w:rPr>
          <w:rFonts w:hint="eastAsia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及机场零售业务。屈臣氏在中国200多个城市拥有超过1000家店铺和三千万名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"https://baike.baidu.com/item/%E4%BC%9A%E5%91%98" \t "https://baike.baidu.com/item/_blank"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Fonts w:hint="eastAsia"/>
          <w:sz w:val="24"/>
          <w:szCs w:val="24"/>
          <w:lang w:val="en-US" w:eastAsia="zh-CN"/>
        </w:rPr>
        <w:t>会员</w:t>
      </w:r>
      <w:r>
        <w:rPr>
          <w:rFonts w:hint="eastAsia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，是中国目前最大的保健及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"https://baike.baidu.com/item/%E7%BE%8E%E5%AE%B9" \t "https://baike.baidu.com/item/_blank"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Fonts w:hint="eastAsia"/>
          <w:sz w:val="24"/>
          <w:szCs w:val="24"/>
          <w:lang w:val="en-US" w:eastAsia="zh-CN"/>
        </w:rPr>
        <w:t>美容</w:t>
      </w:r>
      <w:r>
        <w:rPr>
          <w:rFonts w:hint="eastAsia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产品零售连锁店。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二、屈臣氏选址的方向及店铺要求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（一）选址方向</w:t>
      </w:r>
    </w:p>
    <w:p>
      <w:pPr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79060" cy="3980180"/>
            <wp:effectExtent l="0" t="0" r="2540" b="1270"/>
            <wp:docPr id="2" name="图片 2" descr="809691983037360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9691983037360670"/>
                    <pic:cNvPicPr>
                      <a:picLocks noChangeAspect="1"/>
                    </pic:cNvPicPr>
                  </pic:nvPicPr>
                  <pic:blipFill>
                    <a:blip r:embed="rId4"/>
                    <a:srcRect t="6303" b="7183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1.人流量集中的街道，办公楼，如航空港华联超市一楼，附近小区众多，人流量大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2.大型百货商店、超大型卖场、大型商业中心，如成都屈臣氏空港店，靠近北京华联超市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3.与星巴克、汉堡王等有相同消费人群的商业靠近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4.中心城市的地铁沿线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5.居住人口大的小区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（二）选址要求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分为街铺店和非街铺店，面积在200-500平米之间。对于街铺店，最好在一楼，有独立的进出口，形象展示好。临主干道，人流量集中，可视性好，有较好的招牌广告位。</w:t>
      </w:r>
    </w:p>
    <w:p>
      <w:pPr>
        <w:numPr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spacing w:before="0" w:beforeAutospacing="1" w:after="75" w:afterAutospacing="0"/>
        <w:ind w:right="75" w:rightChars="0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72100" cy="3581400"/>
            <wp:effectExtent l="0" t="0" r="0" b="0"/>
            <wp:docPr id="8" name="图片 6" descr="点击查看源网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点击查看源网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after="75" w:afterAutospacing="0"/>
        <w:ind w:left="720" w:right="75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对于非街铺店，必须在人流量通道上，并且具有相当醒目的广告位和招牌。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14925" cy="3143250"/>
            <wp:effectExtent l="0" t="0" r="9525" b="0"/>
            <wp:docPr id="10" name="图片 8" descr="点击查看源网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点击查看源网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</w:rPr>
      </w:pPr>
    </w:p>
    <w:p>
      <w:pPr>
        <w:numPr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三、店址、商圈、销售额的分析（以航空港中心店为例）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屈臣氏选择首先考虑的是目标消费群密度，捕捉率和租金成本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目标消费者有效数量=目标消费群密度*捕捉率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一般，屈臣氏预估捕捉率在8%-10%之间，通过这个可以计算出屈臣氏的预计销售额.</w:t>
      </w:r>
    </w:p>
    <w:p>
      <w:pPr>
        <w:numPr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4978400" cy="4802505"/>
            <wp:effectExtent l="0" t="0" r="12700" b="17145"/>
            <wp:docPr id="11" name="图片 11" descr="800764521140422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00764521140422969"/>
                    <pic:cNvPicPr>
                      <a:picLocks noChangeAspect="1"/>
                    </pic:cNvPicPr>
                  </pic:nvPicPr>
                  <pic:blipFill>
                    <a:blip r:embed="rId7"/>
                    <a:srcRect t="14099" b="11731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屈臣氏航空港中心店位于锦华路二段与机场高速的交叉路口，与北京华联大型综合超市毗邻位于5个居民小区的中心（温哥华花园、学府嘉苑、久居福等）、2所高校（西南民族大学、成都信息工程大学）附近。具体位置位于一楼，拥有独立的出入口，标牌醒目，清晰可见。影响选址的因素：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（1）商圈繁荣度</w:t>
      </w:r>
    </w:p>
    <w:p>
      <w:pPr>
        <w:numPr>
          <w:ilvl w:val="0"/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从商圈热力图中可以看出，屈臣氏在华联空港中心店位于商圈的正中心，占据有利的地理位置。从商圈繁荣指数可以看出，商圈成熟度指数和竞争指数高，交通以公路为主，没有地铁等大流量的其他交通方式，指数偏低，附近小区众多，人口聚集指数较高。</w:t>
      </w:r>
    </w:p>
    <w:p>
      <w:pPr>
        <w:ind w:firstLine="222" w:firstLineChars="0"/>
        <w:jc w:val="left"/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653030"/>
            <wp:effectExtent l="0" t="0" r="7620" b="1397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（2）商圈类型及租金</w:t>
      </w:r>
    </w:p>
    <w:p>
      <w:pPr>
        <w:numPr>
          <w:ilvl w:val="0"/>
          <w:numId w:val="0"/>
        </w:numPr>
        <w:jc w:val="both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航空港中心店的商圈类型属于综合商圈，购物占比23.47%，服务类占比28.57%，休闲占比12.25%，餐饮占比35.71%，商圈服务种类齐全，均匀分布。常住居民49804户，白领人数38800人，属于人口集聚型。商圈租金38元/平米/月，租金是屈臣氏选址首先考虑的因素之一，因此符合屈臣氏的选址要求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084070"/>
            <wp:effectExtent l="0" t="0" r="7620" b="1143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（3）商圈覆盖人群</w:t>
      </w:r>
    </w:p>
    <w:p>
      <w:pPr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航空港商圈住宅小区总数54个，商圈内合计户数49804户，以中大型小区为主，人口密度为21.3千人/平公里，属于人口密集型。</w:t>
      </w:r>
    </w:p>
    <w:p>
      <w:pPr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2716530"/>
            <wp:effectExtent l="0" t="0" r="9525" b="762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（4）商圈覆盖范围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自中心向四周同心圆扩散，2000m为半径覆盖周围的所有人群。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848610"/>
            <wp:effectExtent l="0" t="0" r="3810" b="889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（5）主力消费人群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屈臣氏的消费人群主要集中在18-35岁之间，多为学生与上班族。航空港商圈主要办公楼2栋，可容纳38800名白领上班族，附近有两所大学，西南民族大学、成都信息工程大学，总人数超过6W人，消费指数高，而且屈臣氏的产品符合这两大类人群的期望，复购指数高。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2790825"/>
            <wp:effectExtent l="0" t="0" r="5080" b="952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（6）购物关键数据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 w:cstheme="minorBidi"/>
          <w:b w:val="0"/>
          <w:bCs w:val="0"/>
          <w:kern w:val="2"/>
          <w:sz w:val="21"/>
          <w:szCs w:val="24"/>
          <w:lang w:val="en-US" w:eastAsia="zh-CN" w:bidi="ar-SA"/>
        </w:rPr>
        <w:t>统计显示，航空港商圈覆盖范围内超市18个，商铺453个，集市22个，家电数码23个，家居建材66个，其他零售132个，购物成熟度为100分。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773680"/>
            <wp:effectExtent l="0" t="0" r="10160" b="762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theme="minorBidi"/>
          <w:b w:val="0"/>
          <w:bCs w:val="0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1"/>
          <w:szCs w:val="24"/>
          <w:lang w:val="en-US" w:eastAsia="zh-CN" w:bidi="ar-SA"/>
        </w:rPr>
        <w:t>。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（7）交通便捷指数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附近公交站87个，停车场30个，交通便捷，方便购物。屈臣氏位于华联购物中心一楼，洪亮购物中心拥有地下停车场和地上停车场，同时位于锦华路二段与机场高速的交汇处，两边皆有公交车站，为购物提供良好的交通条件。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2625090"/>
            <wp:effectExtent l="0" t="0" r="13335" b="381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商圈客群画像</w:t>
      </w:r>
    </w:p>
    <w:p>
      <w:pPr>
        <w:numPr>
          <w:numId w:val="0"/>
        </w:numPr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商圈男女比例约为6:4，18-35岁累计占比85%，文化程度在大专以上累计占比88%，学生和上班族累计占比90%以上，符合屈臣氏对于主目标客户群的定位。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1770" cy="2516505"/>
            <wp:effectExtent l="0" t="0" r="5080" b="1714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2100580"/>
            <wp:effectExtent l="0" t="0" r="10795" b="1397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商圈个人收入</w:t>
      </w:r>
    </w:p>
    <w:p>
      <w:pPr>
        <w:numPr>
          <w:numId w:val="0"/>
        </w:numPr>
        <w:ind w:leftChars="0"/>
        <w:jc w:val="left"/>
        <w:rPr>
          <w:rFonts w:hint="eastAsia" w:cstheme="minorBidi"/>
          <w:b w:val="0"/>
          <w:bCs w:val="0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1"/>
          <w:szCs w:val="24"/>
          <w:lang w:val="en-US" w:eastAsia="zh-CN" w:bidi="ar-SA"/>
        </w:rPr>
        <w:t>2000-6000元收入的人群累计占比47.5%，6000-10000元收入的人群累计占比18.5%，收入水平中等偏上，消费能力强，屈臣氏的产品价位集中在100-400元之间，符合这类收入人群的消费水平。</w:t>
      </w:r>
    </w:p>
    <w:p>
      <w:pPr>
        <w:jc w:val="left"/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170430"/>
            <wp:effectExtent l="0" t="0" r="3175" b="127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总结</w:t>
      </w:r>
    </w:p>
    <w:p>
      <w:pPr>
        <w:numPr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屈臣氏综合考量的因素有地理位置、商圈、消费水平，竞争压力、客户群体。选址首要考虑的三个因素：目标消费群密度、捕捉率和租金，这些因素是必不可少的。店铺选址应该综合考量各个因素，选出最佳位置，满足消费者需求，创造利益的最大化。</w:t>
      </w:r>
      <w:bookmarkStart w:id="0" w:name="_GoBack"/>
      <w:bookmarkEnd w:id="0"/>
    </w:p>
    <w:p>
      <w:pPr>
        <w:numPr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[参考资料]</w:t>
      </w:r>
    </w:p>
    <w:p>
      <w:pPr>
        <w:numPr>
          <w:ilvl w:val="0"/>
          <w:numId w:val="3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 HYPERLINK "http://www.shangquanshow.com/app/basic/main.jsp#商圈秀提供数据支持"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lang w:val="en-US" w:eastAsia="zh-CN"/>
        </w:rPr>
        <w:t>http://www.shangquanshow.com/app/basic/main.jsp#商圈秀提供数据支持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numPr>
          <w:ilvl w:val="0"/>
          <w:numId w:val="3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https://baike.baidu.com/item/%E5%B1%88%E8%87%A3%E6%B0%8F/1024844?fr=aladdin屈臣氏百度百科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baikeFont_layou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aikeFont_cs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arkplayer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jw-ico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18872EE"/>
    <w:multiLevelType w:val="singleLevel"/>
    <w:tmpl w:val="E18872EE"/>
    <w:lvl w:ilvl="0" w:tentative="0">
      <w:start w:val="8"/>
      <w:numFmt w:val="decimal"/>
      <w:suff w:val="nothing"/>
      <w:lvlText w:val="（%1）"/>
      <w:lvlJc w:val="left"/>
    </w:lvl>
  </w:abstractNum>
  <w:abstractNum w:abstractNumId="1">
    <w:nsid w:val="FE321D45"/>
    <w:multiLevelType w:val="singleLevel"/>
    <w:tmpl w:val="FE321D4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D71CF64"/>
    <w:multiLevelType w:val="singleLevel"/>
    <w:tmpl w:val="1D71CF6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6E69CC"/>
    <w:rsid w:val="07CE1915"/>
    <w:rsid w:val="0C44408C"/>
    <w:rsid w:val="156E69CC"/>
    <w:rsid w:val="18967A4F"/>
    <w:rsid w:val="200D3DA4"/>
    <w:rsid w:val="42A62B44"/>
    <w:rsid w:val="437F205F"/>
    <w:rsid w:val="4ECF14B8"/>
    <w:rsid w:val="58A857D9"/>
    <w:rsid w:val="5AC24DBC"/>
    <w:rsid w:val="5D664CDE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1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Strong"/>
    <w:basedOn w:val="2"/>
    <w:qFormat/>
    <w:uiPriority w:val="0"/>
    <w:rPr>
      <w:color w:val="CC0000"/>
    </w:rPr>
  </w:style>
  <w:style w:type="character" w:styleId="4">
    <w:name w:val="FollowedHyperlink"/>
    <w:basedOn w:val="2"/>
    <w:uiPriority w:val="0"/>
    <w:rPr>
      <w:color w:val="338DE6"/>
      <w:u w:val="none"/>
    </w:rPr>
  </w:style>
  <w:style w:type="character" w:styleId="5">
    <w:name w:val="Emphasis"/>
    <w:basedOn w:val="2"/>
    <w:qFormat/>
    <w:uiPriority w:val="0"/>
  </w:style>
  <w:style w:type="character" w:styleId="6">
    <w:name w:val="HTML Definition"/>
    <w:basedOn w:val="2"/>
    <w:uiPriority w:val="0"/>
  </w:style>
  <w:style w:type="character" w:styleId="7">
    <w:name w:val="HTML Variable"/>
    <w:basedOn w:val="2"/>
    <w:uiPriority w:val="0"/>
  </w:style>
  <w:style w:type="character" w:styleId="8">
    <w:name w:val="Hyperlink"/>
    <w:basedOn w:val="2"/>
    <w:uiPriority w:val="0"/>
    <w:rPr>
      <w:color w:val="338DE6"/>
      <w:u w:val="none"/>
    </w:rPr>
  </w:style>
  <w:style w:type="character" w:styleId="9">
    <w:name w:val="HTML Code"/>
    <w:basedOn w:val="2"/>
    <w:uiPriority w:val="0"/>
    <w:rPr>
      <w:rFonts w:hint="default" w:ascii="serif" w:hAnsi="serif" w:eastAsia="serif" w:cs="serif"/>
      <w:sz w:val="21"/>
      <w:szCs w:val="21"/>
    </w:rPr>
  </w:style>
  <w:style w:type="character" w:styleId="10">
    <w:name w:val="HTML Cite"/>
    <w:basedOn w:val="2"/>
    <w:uiPriority w:val="0"/>
  </w:style>
  <w:style w:type="character" w:styleId="11">
    <w:name w:val="HTML Keyboard"/>
    <w:basedOn w:val="2"/>
    <w:uiPriority w:val="0"/>
    <w:rPr>
      <w:rFonts w:ascii="serif" w:hAnsi="serif" w:eastAsia="serif" w:cs="serif"/>
      <w:sz w:val="21"/>
      <w:szCs w:val="21"/>
    </w:rPr>
  </w:style>
  <w:style w:type="character" w:styleId="12">
    <w:name w:val="HTML Sample"/>
    <w:basedOn w:val="2"/>
    <w:uiPriority w:val="0"/>
    <w:rPr>
      <w:rFonts w:hint="default" w:ascii="serif" w:hAnsi="serif" w:eastAsia="serif" w:cs="serif"/>
      <w:sz w:val="21"/>
      <w:szCs w:val="21"/>
    </w:rPr>
  </w:style>
  <w:style w:type="character" w:customStyle="1" w:styleId="14">
    <w:name w:val="fontborder"/>
    <w:basedOn w:val="2"/>
    <w:uiPriority w:val="0"/>
    <w:rPr>
      <w:bdr w:val="single" w:color="000000" w:sz="6" w:space="0"/>
    </w:rPr>
  </w:style>
  <w:style w:type="character" w:customStyle="1" w:styleId="15">
    <w:name w:val="fontstrikethrough"/>
    <w:basedOn w:val="2"/>
    <w:uiPriority w:val="0"/>
    <w:rPr>
      <w:strike/>
    </w:rPr>
  </w:style>
  <w:style w:type="character" w:customStyle="1" w:styleId="16">
    <w:name w:val="fouttt"/>
    <w:basedOn w:val="2"/>
    <w:uiPriority w:val="0"/>
  </w:style>
  <w:style w:type="character" w:customStyle="1" w:styleId="17">
    <w:name w:val="finft"/>
    <w:basedOn w:val="2"/>
    <w:uiPriority w:val="0"/>
  </w:style>
  <w:style w:type="character" w:customStyle="1" w:styleId="18">
    <w:name w:val="finfb"/>
    <w:basedOn w:val="2"/>
    <w:uiPriority w:val="0"/>
  </w:style>
  <w:style w:type="character" w:customStyle="1" w:styleId="19">
    <w:name w:val="fouttb"/>
    <w:basedOn w:val="2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8472;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96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2018-05-14T10:36:00Z</dcterms:created>
  <dc:creator>--Shmily</dc:creator>
  <cp:lastModifiedBy>--Shmily</cp:lastModifiedBy>
  <dcterms:modified xsi:type="dcterms:W3CDTF">2018-05-15T04:34:32Z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